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4513"/>
        <w:gridCol w:w="4513"/>
      </w:tblGrid>
      <w:tr>
        <w:tc>
          <w:tcPr>
            <w:tcW w:w="45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13 сентября 2004 года</w:t>
            </w:r>
          </w:p>
        </w:tc>
        <w:tc>
          <w:tcPr>
            <w:tcW w:w="45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1167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НЕОТЛОЖНЫХ МЕРАХ ПО ПОВЫШЕНИЮ</w:t>
      </w:r>
    </w:p>
    <w:p>
      <w:pPr>
        <w:pStyle w:val="2"/>
        <w:jc w:val="center"/>
      </w:pPr>
      <w:r>
        <w:rPr>
          <w:sz w:val="20"/>
        </w:rPr>
        <w:t xml:space="preserve">ЭФФЕКТИВНОСТИ БОРЬБЫ С ТЕРРОРИЗМОМ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совершенствования государственной политики в области обеспечения безопасности Российской Федерации, повышения эффективности борьбы с терроризмом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Правительству Российской Федерации совместно с Министерством обороны Российской Федерации, Министерством внутренних дел Российской Федерации, Министерством Российской Федерации по делам гражданской обороны, чрезвычайным ситуациям и ликвидации последствий стихийных бедствий, Министерством юстиции Российской Федерации, Федеральной службой безопасности Российской Федерации и Федеральной службой Российской Федерации по контролю за оборотом наркотиков в 2-недельный срок разработать и представить предложения по созданию новой системы взаимодействия сил и средств, участвующих в урегулировании ситуации на территории Северо-Кавказского региона Российской Федерации, и по созданию системы предотвращения и ликвидации кризисных ситуаций на территории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Правительству Российской Федерации в месячный срок: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совместно с Министерством внутренних дел Российской Федерации, Министерством обороны Российской Федерации, Министерством Российской Федерации по делам гражданской обороны, чрезвычайным ситуациям и ликвидации последствий стихийных бедствий и Федеральной службой безопасности Российской Федерации представить предложения по созданию эффективной системы государственного управления в кризисных ситуациях, предусмотрев выработку адекватных мер по предупреждению и предотвращению терроризма в любой форме (применение или угроза применения взрывных устройств, включая ядерные, радиоактивных, химических, биологических, токсических, отравляющих, сильнодействующих, ядовитых веществ, захват заложников и другие формы), техногенных аварий и катастроф, локализации их последствий, а также по своевременному оповещению населения о кризисных ситуациях или угрозе возникновения таких ситуаций; утвердить соответствующие планы действий в кризисных ситуациях Правительства Российской Федерации, министерств и других федеральных органов исполнительной власти совместно с органами исполнительной власти субъектов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совместно с Федеральной службой безопасности Российской Федерации и Министерством внутренних дел Российской Федерации разработать комплекс мер по предупреждению и пресечению террористических проявлений на объектах транспорта, энергетики и связи, в местах массового пребывания людей, в образовательных и медицинских учреждениях, а также утвердить перечни объектов повышенной опасности по всем субъектам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совместно с Федеральной службой безопасности Российской Федерации, Министерством внутренних дел Российской Федерации и органами исполнительной власти субъектов Российской Федерации создать условия, способствующие участию граждан и их объединений в обеспечении безопасности, предупреждении и пресечении террористических проявлений;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внести предложения, направленные на выработку принципиально новых подходов к организации деятельности правоохранительных органов с учетом проведения мероприятий в рамках административной реформы.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Министерству иностранных дел Российской Федерации совместно с Федеральной службой безопасности Российской Федерации, Службой внешней разведки Российской Федерации и Министерством внутренних дел Российской Федерации в целях недопущения въезда в Российскую Федерацию лиц для участия в террористической деятельности принять меры по усилению контроля за выдачей виз дипломатическими представительствами и консульскими учреждениями Российской Федерации за рубежом, а также по упорядочению пересечения государственной границы Российской Федерации гражданами тех стран, с которыми Российская Федерация имеет соглашения о безвизовом въезде.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  <w:jc w:val="both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13 сентября 2004 года</w:t>
      </w:r>
    </w:p>
    <w:p>
      <w:pPr>
        <w:pStyle w:val="0"/>
        <w:spacing w:before="200" w:line-rule="auto"/>
        <w:jc w:val="both"/>
      </w:pPr>
      <w:r>
        <w:rPr>
          <w:sz w:val="20"/>
        </w:rPr>
        <w:t xml:space="preserve">N 1167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134" w:right="1440" w:bottom="567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13.09.2004 N 1167</w:t>
            <w:br/>
            <w:t>"О неотложных мерах по повышению эффективности борьбы с терроризмом"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25.04.2023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13.09.2004 N 1167 "О неотложных мерах по повышению эффективности борьбы с терроризмом"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25.04.2023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13.09.2004 N 1167
"О неотложных мерах по повышению эффективности борьбы с терроризмом"</dc:title>
  <dcterms:created xsi:type="dcterms:W3CDTF">2023-04-25T09:48:35Z</dcterms:created>
</cp:coreProperties>
</file>